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3930C83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…………/2023 </w:t>
      </w:r>
    </w:p>
    <w:p w14:paraId="4F2BC8E6" w14:textId="0DA35A70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33263B">
        <w:rPr>
          <w:rFonts w:ascii="Calibri" w:hAnsi="Calibri" w:cs="Calibri"/>
          <w:szCs w:val="24"/>
        </w:rPr>
        <w:t>3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72135468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F71EF8">
        <w:rPr>
          <w:rFonts w:ascii="Calibri" w:hAnsi="Calibri" w:cs="Calibri"/>
          <w:sz w:val="24"/>
          <w:szCs w:val="24"/>
        </w:rPr>
        <w:t>12</w:t>
      </w:r>
      <w:r w:rsidRPr="00F60EDE">
        <w:rPr>
          <w:rFonts w:ascii="Calibri" w:hAnsi="Calibri" w:cs="Calibri"/>
          <w:sz w:val="24"/>
          <w:szCs w:val="24"/>
          <w:lang w:val="x-none"/>
        </w:rPr>
        <w:t>/2023, w trybie zapytania ofertowego, na podstawie Zarządzenia Dyrektora Szkoły Podstawowej Nr 8 w Rzeszowie nr 2/2023 z dnia 23.01.2023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779BB3F9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4E2B59">
        <w:rPr>
          <w:rFonts w:ascii="Calibri" w:hAnsi="Calibri" w:cs="Calibri"/>
          <w:b/>
          <w:sz w:val="24"/>
          <w:szCs w:val="24"/>
          <w:lang w:val="pl-PL"/>
        </w:rPr>
        <w:t xml:space="preserve">modernizacja </w:t>
      </w:r>
      <w:r w:rsidR="003C727C">
        <w:rPr>
          <w:rFonts w:ascii="Calibri" w:hAnsi="Calibri" w:cs="Calibri"/>
          <w:b/>
          <w:sz w:val="24"/>
          <w:szCs w:val="24"/>
          <w:lang w:val="pl-PL"/>
        </w:rPr>
        <w:t>S</w:t>
      </w:r>
      <w:r w:rsidR="004E2B59">
        <w:rPr>
          <w:rFonts w:ascii="Calibri" w:hAnsi="Calibri" w:cs="Calibri"/>
          <w:b/>
          <w:sz w:val="24"/>
          <w:szCs w:val="24"/>
          <w:lang w:val="pl-PL"/>
        </w:rPr>
        <w:t>al</w:t>
      </w:r>
      <w:r w:rsidR="003C727C">
        <w:rPr>
          <w:rFonts w:ascii="Calibri" w:hAnsi="Calibri" w:cs="Calibri"/>
          <w:b/>
          <w:sz w:val="24"/>
          <w:szCs w:val="24"/>
          <w:lang w:val="pl-PL"/>
        </w:rPr>
        <w:t>i nr 8</w:t>
      </w:r>
      <w:r w:rsidR="004E2B59">
        <w:rPr>
          <w:rFonts w:ascii="Calibri" w:hAnsi="Calibri" w:cs="Calibri"/>
          <w:b/>
          <w:sz w:val="24"/>
          <w:szCs w:val="24"/>
          <w:lang w:val="pl-PL"/>
        </w:rPr>
        <w:t xml:space="preserve"> w budynku</w:t>
      </w:r>
      <w:r w:rsidR="007F2FC7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  <w:r w:rsidR="00126766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="007F2FC7"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zgodnie z przedmiarem robót (załącznik nr 2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10934020" w14:textId="1033522D" w:rsidR="001924B7" w:rsidRPr="002E51E8" w:rsidRDefault="00764DCC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 xml:space="preserve">dostarczyć </w:t>
      </w:r>
      <w:r w:rsidR="004E2B59">
        <w:rPr>
          <w:rFonts w:ascii="Calibri" w:hAnsi="Calibri" w:cs="Calibri"/>
          <w:color w:val="000000"/>
          <w:sz w:val="24"/>
        </w:rPr>
        <w:t>potrzebne materiały</w:t>
      </w:r>
      <w:r w:rsidR="00A97FD8" w:rsidRPr="002E51E8">
        <w:rPr>
          <w:rFonts w:ascii="Calibri" w:hAnsi="Calibri" w:cs="Calibri"/>
          <w:color w:val="000000"/>
          <w:sz w:val="24"/>
        </w:rPr>
        <w:t xml:space="preserve"> </w:t>
      </w:r>
      <w:r w:rsidR="00134C96" w:rsidRPr="002E51E8">
        <w:rPr>
          <w:rFonts w:ascii="Calibri" w:hAnsi="Calibri" w:cs="Calibri"/>
          <w:color w:val="000000"/>
          <w:sz w:val="24"/>
        </w:rPr>
        <w:t>do Zamawiającego</w:t>
      </w:r>
      <w:r w:rsidR="00CA6FCA" w:rsidRPr="002E51E8">
        <w:rPr>
          <w:rFonts w:ascii="Calibri" w:hAnsi="Calibri" w:cs="Calibri"/>
          <w:color w:val="000000"/>
          <w:sz w:val="24"/>
        </w:rPr>
        <w:t>.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CA6FCA" w:rsidRPr="002E51E8">
        <w:rPr>
          <w:rFonts w:ascii="Calibri" w:hAnsi="Calibri" w:cs="Calibri"/>
          <w:color w:val="000000"/>
          <w:sz w:val="24"/>
        </w:rPr>
        <w:t>M</w:t>
      </w:r>
      <w:r w:rsidR="007F2FC7">
        <w:rPr>
          <w:rFonts w:ascii="Calibri" w:hAnsi="Calibri" w:cs="Calibri"/>
          <w:color w:val="000000"/>
          <w:sz w:val="24"/>
        </w:rPr>
        <w:t xml:space="preserve">iejscem </w:t>
      </w:r>
      <w:r w:rsidR="004E2B59">
        <w:rPr>
          <w:rFonts w:ascii="Calibri" w:hAnsi="Calibri" w:cs="Calibri"/>
          <w:color w:val="000000"/>
          <w:sz w:val="24"/>
        </w:rPr>
        <w:t>wykonania zadania będzie sala lekcyjna</w:t>
      </w:r>
      <w:r w:rsidR="007F2FC7">
        <w:rPr>
          <w:rFonts w:ascii="Calibri" w:hAnsi="Calibri" w:cs="Calibri"/>
          <w:color w:val="000000"/>
          <w:sz w:val="24"/>
        </w:rPr>
        <w:t xml:space="preserve"> </w:t>
      </w:r>
      <w:r w:rsidR="00910675" w:rsidRPr="002E51E8">
        <w:rPr>
          <w:rFonts w:ascii="Calibri" w:hAnsi="Calibri" w:cs="Calibri"/>
          <w:color w:val="000000"/>
          <w:sz w:val="24"/>
        </w:rPr>
        <w:t xml:space="preserve">Szkoły Podstawowej nr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>Antoniego Kopaczewskiego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do </w:t>
      </w:r>
      <w:r w:rsidR="00CB6A03">
        <w:rPr>
          <w:rFonts w:ascii="Calibri" w:hAnsi="Calibri" w:cs="Calibri"/>
          <w:b/>
          <w:bCs/>
          <w:color w:val="000000"/>
          <w:sz w:val="24"/>
        </w:rPr>
        <w:t>30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CB6A03">
        <w:rPr>
          <w:rFonts w:ascii="Calibri" w:hAnsi="Calibri" w:cs="Calibri"/>
          <w:b/>
          <w:bCs/>
          <w:color w:val="000000"/>
          <w:sz w:val="24"/>
        </w:rPr>
        <w:t>listopada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>20</w:t>
      </w:r>
      <w:r w:rsidR="007F2FC7" w:rsidRPr="004E2B59">
        <w:rPr>
          <w:rFonts w:ascii="Calibri" w:hAnsi="Calibri" w:cs="Calibri"/>
          <w:b/>
          <w:bCs/>
          <w:color w:val="000000"/>
          <w:sz w:val="24"/>
        </w:rPr>
        <w:t>2</w:t>
      </w:r>
      <w:r w:rsidR="0033263B">
        <w:rPr>
          <w:rFonts w:ascii="Calibri" w:hAnsi="Calibri" w:cs="Calibri"/>
          <w:b/>
          <w:bCs/>
          <w:color w:val="000000"/>
          <w:sz w:val="24"/>
        </w:rPr>
        <w:t>3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 xml:space="preserve"> r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>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08C97C4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15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>na swój 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7726D92B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C7831">
        <w:rPr>
          <w:rFonts w:ascii="Calibri" w:hAnsi="Calibri" w:cs="Calibri"/>
          <w:color w:val="000000"/>
          <w:sz w:val="24"/>
          <w:szCs w:val="24"/>
        </w:rPr>
        <w:t>modernizacji sali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we wskazanym 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4E84F8BD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lastRenderedPageBreak/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33263B">
        <w:rPr>
          <w:rFonts w:ascii="Calibri" w:hAnsi="Calibri" w:cs="Calibri"/>
          <w:sz w:val="24"/>
          <w:szCs w:val="24"/>
        </w:rPr>
        <w:t>2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poniższego kompletu dokumentów:</w:t>
      </w:r>
    </w:p>
    <w:p w14:paraId="1B2F28B8" w14:textId="77777777" w:rsidR="00ED5235" w:rsidRPr="002E51E8" w:rsidRDefault="00ED5235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faktury VAT (</w:t>
      </w:r>
      <w:r w:rsidR="001924B7" w:rsidRPr="002E51E8">
        <w:rPr>
          <w:rFonts w:ascii="Calibri" w:hAnsi="Calibri" w:cs="Calibri"/>
          <w:sz w:val="24"/>
          <w:szCs w:val="24"/>
        </w:rPr>
        <w:t>oryginał oraz kopia</w:t>
      </w:r>
      <w:r w:rsidRPr="002E51E8">
        <w:rPr>
          <w:rFonts w:ascii="Calibri" w:hAnsi="Calibri" w:cs="Calibri"/>
          <w:sz w:val="24"/>
          <w:szCs w:val="24"/>
        </w:rPr>
        <w:t>);</w:t>
      </w:r>
    </w:p>
    <w:p w14:paraId="7B39E505" w14:textId="77777777" w:rsidR="00ED5235" w:rsidRPr="002E51E8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35A981D6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6062E1" w:rsidRPr="002E51E8">
        <w:rPr>
          <w:rFonts w:ascii="Calibri" w:hAnsi="Calibri" w:cs="Calibri"/>
          <w:b/>
          <w:sz w:val="24"/>
          <w:szCs w:val="24"/>
        </w:rPr>
        <w:t>minimum</w:t>
      </w:r>
      <w:r w:rsidR="00B76E21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220479">
        <w:rPr>
          <w:rFonts w:ascii="Calibri" w:hAnsi="Calibri" w:cs="Calibri"/>
          <w:b/>
          <w:sz w:val="24"/>
          <w:szCs w:val="24"/>
        </w:rPr>
        <w:t>3</w:t>
      </w:r>
      <w:r w:rsidR="004B7950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126D91">
        <w:rPr>
          <w:rFonts w:ascii="Calibri" w:hAnsi="Calibri" w:cs="Calibri"/>
          <w:b/>
          <w:sz w:val="24"/>
          <w:szCs w:val="24"/>
        </w:rPr>
        <w:t>lat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>1 kc,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kc,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>491 kc</w:t>
      </w:r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lastRenderedPageBreak/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1BE435FB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33263B">
        <w:rPr>
          <w:rFonts w:ascii="Calibri" w:hAnsi="Calibri" w:cs="Calibri"/>
          <w:b/>
          <w:sz w:val="24"/>
          <w:szCs w:val="24"/>
        </w:rPr>
        <w:t xml:space="preserve">modernizację </w:t>
      </w:r>
      <w:r w:rsidR="003C727C">
        <w:rPr>
          <w:rFonts w:ascii="Calibri" w:hAnsi="Calibri" w:cs="Calibri"/>
          <w:b/>
          <w:sz w:val="24"/>
          <w:szCs w:val="24"/>
        </w:rPr>
        <w:t>S</w:t>
      </w:r>
      <w:r w:rsidR="0033263B">
        <w:rPr>
          <w:rFonts w:ascii="Calibri" w:hAnsi="Calibri" w:cs="Calibri"/>
          <w:b/>
          <w:sz w:val="24"/>
          <w:szCs w:val="24"/>
        </w:rPr>
        <w:t>al</w:t>
      </w:r>
      <w:r w:rsidR="003C727C">
        <w:rPr>
          <w:rFonts w:ascii="Calibri" w:hAnsi="Calibri" w:cs="Calibri"/>
          <w:b/>
          <w:sz w:val="24"/>
          <w:szCs w:val="24"/>
        </w:rPr>
        <w:t>i nr 8</w:t>
      </w:r>
      <w:r w:rsidR="0033263B">
        <w:rPr>
          <w:rFonts w:ascii="Calibri" w:hAnsi="Calibri" w:cs="Calibri"/>
          <w:b/>
          <w:sz w:val="24"/>
          <w:szCs w:val="24"/>
        </w:rPr>
        <w:t xml:space="preserve"> w budynku</w:t>
      </w:r>
      <w:r w:rsidR="0033263B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86043D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1B52" w14:textId="77777777" w:rsidR="00603BD6" w:rsidRDefault="00603BD6" w:rsidP="00765FB2">
      <w:pPr>
        <w:spacing w:after="0"/>
      </w:pPr>
      <w:r>
        <w:separator/>
      </w:r>
    </w:p>
  </w:endnote>
  <w:endnote w:type="continuationSeparator" w:id="0">
    <w:p w14:paraId="541BCEB6" w14:textId="77777777" w:rsidR="00603BD6" w:rsidRDefault="00603BD6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4B4D" w14:textId="77777777" w:rsidR="00603BD6" w:rsidRDefault="00603BD6" w:rsidP="00765FB2">
      <w:pPr>
        <w:spacing w:after="0"/>
      </w:pPr>
      <w:r>
        <w:separator/>
      </w:r>
    </w:p>
  </w:footnote>
  <w:footnote w:type="continuationSeparator" w:id="0">
    <w:p w14:paraId="1D678A82" w14:textId="77777777" w:rsidR="00603BD6" w:rsidRDefault="00603BD6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973" w14:textId="77777777" w:rsidR="00B7397E" w:rsidRPr="008E50B3" w:rsidRDefault="008E50B3" w:rsidP="00B7397E">
    <w:pPr>
      <w:pStyle w:val="Nagwek"/>
      <w:jc w:val="center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22A5B"/>
    <w:rsid w:val="007277FC"/>
    <w:rsid w:val="00745703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Maciej Dziedzic</cp:lastModifiedBy>
  <cp:revision>7</cp:revision>
  <cp:lastPrinted>2022-06-06T06:39:00Z</cp:lastPrinted>
  <dcterms:created xsi:type="dcterms:W3CDTF">2023-06-16T08:19:00Z</dcterms:created>
  <dcterms:modified xsi:type="dcterms:W3CDTF">2023-10-25T11:54:00Z</dcterms:modified>
</cp:coreProperties>
</file>